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rtl w:val="0"/>
        </w:rPr>
      </w:pPr>
      <w:r>
        <w:rPr>
          <w:rFonts w:ascii="Avenir Next Regular" w:hAnsi="Avenir Next Regular"/>
          <w:b w:val="1"/>
          <w:bCs w:val="1"/>
          <w:sz w:val="21"/>
          <w:szCs w:val="21"/>
          <w:rtl w:val="0"/>
          <w:lang w:val="da-DK"/>
        </w:rPr>
        <w:t>Parker Nelson</w:t>
      </w:r>
      <w:r>
        <w:rPr>
          <w:rFonts w:ascii="Avenir Next Regular" w:hAnsi="Avenir Next Regular"/>
          <w:sz w:val="21"/>
          <w:szCs w:val="21"/>
          <w:rtl w:val="0"/>
          <w:lang w:val="en-US"/>
        </w:rPr>
        <w:t xml:space="preserve"> is </w:t>
      </w:r>
      <w:r>
        <w:rPr>
          <w:rFonts w:ascii="Avenir Next Regular" w:hAnsi="Avenir Next Regular"/>
          <w:sz w:val="21"/>
          <w:szCs w:val="21"/>
          <w:rtl w:val="0"/>
          <w:lang w:val="en-US"/>
        </w:rPr>
        <w:t>a leader in reinventing the capacities of classical music on the stage, in the classroom, and beyond. As a soloist, chamber musician, orchestral musician, and educator, Parker actively works with communities both home and abroad to continually expand the cultural, educational, and artistic reach of the 21st century horn player.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Avenir Next Regular" w:hAnsi="Avenir Next Regular"/>
          <w:sz w:val="21"/>
          <w:szCs w:val="21"/>
          <w:rtl w:val="0"/>
          <w:lang w:val="en-US"/>
        </w:rPr>
        <w:t xml:space="preserve">He performs with ensembles such as the </w:t>
      </w:r>
      <w:r>
        <w:rPr>
          <w:rFonts w:ascii="Avenir Next Regular" w:hAnsi="Avenir Next Regular"/>
          <w:sz w:val="21"/>
          <w:szCs w:val="21"/>
          <w:rtl w:val="0"/>
          <w:lang w:val="en-US"/>
        </w:rPr>
        <w:t>Chicago Symphony, Chicago Philharmonic, Black Moon Trio</w:t>
      </w:r>
      <w:r>
        <w:rPr>
          <w:rFonts w:ascii="Avenir Next Regular" w:hAnsi="Avenir Next Regular"/>
          <w:sz w:val="21"/>
          <w:szCs w:val="21"/>
          <w:rtl w:val="0"/>
          <w:lang w:val="en-US"/>
        </w:rPr>
        <w:t xml:space="preserve">, </w:t>
      </w:r>
      <w:r>
        <w:rPr>
          <w:rFonts w:ascii="Avenir Next Regular" w:hAnsi="Avenir Next Regular"/>
          <w:sz w:val="21"/>
          <w:szCs w:val="21"/>
          <w:rtl w:val="0"/>
          <w:lang w:val="de-DE"/>
        </w:rPr>
        <w:t>and Millar Brass Ensemble</w:t>
      </w:r>
      <w:r>
        <w:rPr>
          <w:rFonts w:ascii="Avenir Next Regular" w:hAnsi="Avenir Next Regular"/>
          <w:sz w:val="21"/>
          <w:szCs w:val="21"/>
          <w:rtl w:val="0"/>
          <w:lang w:val="en-US"/>
        </w:rPr>
        <w:t>. Parker is also Co-Director of Music at Brushwood Center,</w:t>
      </w:r>
      <w:r>
        <w:rPr>
          <w:rFonts w:ascii="Avenir Next Regular" w:hAnsi="Avenir Next Regular"/>
          <w:sz w:val="21"/>
          <w:szCs w:val="21"/>
          <w:rtl w:val="0"/>
          <w:lang w:val="en-US"/>
        </w:rPr>
        <w:t xml:space="preserve"> and maintains a private studio. Parker received a </w:t>
      </w:r>
      <w:r>
        <w:rPr>
          <w:rFonts w:ascii="Avenir Next Regular" w:hAnsi="Avenir Next Regular"/>
          <w:sz w:val="21"/>
          <w:szCs w:val="21"/>
          <w:rtl w:val="0"/>
          <w:lang w:val="en-US"/>
        </w:rPr>
        <w:t>MM degree from</w:t>
      </w:r>
      <w:r>
        <w:rPr>
          <w:rFonts w:ascii="Avenir Next Regular" w:hAnsi="Avenir Next Regular"/>
          <w:sz w:val="21"/>
          <w:szCs w:val="21"/>
          <w:rtl w:val="0"/>
          <w:lang w:val="en-US"/>
        </w:rPr>
        <w:t xml:space="preserve"> DePaul University, and a </w:t>
      </w:r>
      <w:r>
        <w:rPr>
          <w:rFonts w:ascii="Avenir Next Regular" w:hAnsi="Avenir Next Regular"/>
          <w:sz w:val="21"/>
          <w:szCs w:val="21"/>
          <w:rtl w:val="0"/>
          <w:lang w:val="en-US"/>
        </w:rPr>
        <w:t xml:space="preserve">BM </w:t>
      </w:r>
      <w:r>
        <w:rPr>
          <w:rFonts w:ascii="Avenir Next Regular" w:hAnsi="Avenir Next Regular"/>
          <w:sz w:val="21"/>
          <w:szCs w:val="21"/>
          <w:rtl w:val="0"/>
          <w:lang w:val="en-US"/>
        </w:rPr>
        <w:t>degree from Boston University.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